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DA9" w:rsidRDefault="002E3DA9" w:rsidP="002E3DA9">
      <w:pPr>
        <w:pStyle w:val="versales"/>
        <w:shd w:val="clear" w:color="auto" w:fill="FFFFFF"/>
        <w:spacing w:line="276" w:lineRule="auto"/>
        <w:jc w:val="both"/>
        <w:rPr>
          <w:rFonts w:ascii="Century Gothic" w:hAnsi="Century Gothic"/>
          <w:b/>
          <w:bCs/>
          <w:smallCaps/>
        </w:rPr>
      </w:pPr>
    </w:p>
    <w:p w:rsidR="002001AA" w:rsidRDefault="002001AA" w:rsidP="002E3DA9">
      <w:pPr>
        <w:pStyle w:val="versales"/>
        <w:shd w:val="clear" w:color="auto" w:fill="FFFFFF"/>
        <w:spacing w:line="276" w:lineRule="auto"/>
        <w:jc w:val="both"/>
        <w:rPr>
          <w:rFonts w:ascii="Century Gothic" w:hAnsi="Century Gothic"/>
          <w:b/>
          <w:bCs/>
          <w:smallCaps/>
          <w:sz w:val="22"/>
        </w:rPr>
      </w:pPr>
    </w:p>
    <w:p w:rsidR="002E3DA9" w:rsidRPr="001B288E" w:rsidRDefault="002E3DA9" w:rsidP="002E3DA9">
      <w:pPr>
        <w:pStyle w:val="versales"/>
        <w:shd w:val="clear" w:color="auto" w:fill="FFFFFF"/>
        <w:spacing w:line="276" w:lineRule="auto"/>
        <w:jc w:val="both"/>
        <w:rPr>
          <w:rFonts w:ascii="Century Gothic" w:hAnsi="Century Gothic"/>
          <w:b/>
          <w:smallCaps/>
          <w:sz w:val="22"/>
        </w:rPr>
      </w:pPr>
      <w:bookmarkStart w:id="0" w:name="_GoBack"/>
      <w:bookmarkEnd w:id="0"/>
      <w:r w:rsidRPr="001B288E">
        <w:rPr>
          <w:rFonts w:ascii="Century Gothic" w:hAnsi="Century Gothic"/>
          <w:b/>
          <w:bCs/>
          <w:smallCaps/>
          <w:sz w:val="22"/>
        </w:rPr>
        <w:t xml:space="preserve">ACTA SIN QUÓRUM </w:t>
      </w:r>
      <w:r w:rsidRPr="001B288E">
        <w:rPr>
          <w:rFonts w:ascii="Century Gothic" w:hAnsi="Century Gothic"/>
          <w:b/>
          <w:smallCaps/>
          <w:sz w:val="22"/>
        </w:rPr>
        <w:t xml:space="preserve">DE LA COMISIÓN ASUNTOS FRONTERA SUR, DERIVADA DE LA DÉCIMO TERCERA REUNIÓN ORDINARIA PLENARIA, CON FECHA DEL 10 DE DICIEMBRE DEL 2019, CON FUNDAMENTO EN EL ARTÍCULO 167, NUMERAL 2 Y 3 DEL REGLAMENTO DE LA CÁMARA DE DIPUTADOS. </w:t>
      </w:r>
    </w:p>
    <w:p w:rsidR="002E3DA9" w:rsidRPr="001B288E" w:rsidRDefault="002E3DA9" w:rsidP="002E3DA9">
      <w:pPr>
        <w:pStyle w:val="NormalWeb"/>
        <w:shd w:val="clear" w:color="auto" w:fill="FFFFFF"/>
        <w:spacing w:line="276" w:lineRule="auto"/>
        <w:jc w:val="both"/>
        <w:rPr>
          <w:rFonts w:ascii="Century Gothic" w:hAnsi="Century Gothic"/>
          <w:sz w:val="22"/>
        </w:rPr>
      </w:pPr>
      <w:r w:rsidRPr="001B288E">
        <w:rPr>
          <w:rFonts w:ascii="Century Gothic" w:hAnsi="Century Gothic"/>
          <w:sz w:val="22"/>
        </w:rPr>
        <w:t xml:space="preserve">En la Cámara de Diputados, con fecha del martes 10 de diciembre del dos mil diecinueve, en el Salón “A” del edificio “G” de esta Cámara de Diputados, ubicada en Av. Congreso de la Unión No. 66, Colonia El Parque, siendo las 10:30 horas y habiendo trascurrido el tiempo establecido en el artículo 167, numeral 3 del Reglamento de la Cámara de Diputados y al no haberse integrado el quórum correspondiente para que exista Reunión de Comisión, se levanta la presente acta, para dar cumplimiento al citado ordenamiento, con la presencia de los siguientes diputados:    </w:t>
      </w:r>
    </w:p>
    <w:p w:rsidR="002E3DA9" w:rsidRPr="001B288E" w:rsidRDefault="002E3DA9" w:rsidP="002E3DA9">
      <w:pPr>
        <w:pStyle w:val="Textoindependiente"/>
        <w:spacing w:after="100" w:afterAutospacing="1" w:line="276" w:lineRule="auto"/>
        <w:rPr>
          <w:rFonts w:ascii="Century Gothic" w:hAnsi="Century Gothic" w:cs="Times New Roman"/>
          <w:sz w:val="22"/>
          <w:szCs w:val="24"/>
        </w:rPr>
      </w:pPr>
      <w:r w:rsidRPr="001B288E">
        <w:rPr>
          <w:rStyle w:val="negritas"/>
          <w:rFonts w:ascii="Century Gothic" w:eastAsia="Calibri" w:hAnsi="Century Gothic" w:cs="Times New Roman"/>
          <w:b/>
          <w:bCs/>
          <w:sz w:val="22"/>
          <w:szCs w:val="24"/>
        </w:rPr>
        <w:t>Diputados:</w:t>
      </w:r>
      <w:r w:rsidRPr="001B288E">
        <w:rPr>
          <w:rStyle w:val="apple-converted-space"/>
          <w:rFonts w:ascii="Century Gothic" w:hAnsi="Century Gothic" w:cs="Times New Roman"/>
          <w:sz w:val="22"/>
          <w:szCs w:val="24"/>
        </w:rPr>
        <w:t xml:space="preserve"> </w:t>
      </w:r>
      <w:r w:rsidRPr="001B288E">
        <w:rPr>
          <w:rFonts w:ascii="Century Gothic" w:hAnsi="Century Gothic" w:cs="Times New Roman"/>
          <w:sz w:val="22"/>
          <w:szCs w:val="24"/>
        </w:rPr>
        <w:t xml:space="preserve">Raúl Eduardo Bonifaz Moedano (Presidente); Carlos Carreón Mejía (Secretario); María Ester Alonzo Morales (Secretaria); Maricruz Roblero Gordillo (Secretaria); </w:t>
      </w:r>
      <w:r w:rsidR="001B288E" w:rsidRPr="001B288E">
        <w:rPr>
          <w:rFonts w:ascii="Century Gothic" w:hAnsi="Century Gothic" w:cs="Times New Roman"/>
          <w:sz w:val="22"/>
          <w:szCs w:val="24"/>
        </w:rPr>
        <w:t xml:space="preserve">Zulma Espinoza Mata (Secretaria); </w:t>
      </w:r>
      <w:r w:rsidRPr="001B288E">
        <w:rPr>
          <w:rFonts w:ascii="Century Gothic" w:hAnsi="Century Gothic" w:cs="Times New Roman"/>
          <w:sz w:val="22"/>
          <w:szCs w:val="24"/>
        </w:rPr>
        <w:t>Maximino Alejandro Candelaria (Int</w:t>
      </w:r>
      <w:r w:rsidR="001B288E" w:rsidRPr="001B288E">
        <w:rPr>
          <w:rFonts w:ascii="Century Gothic" w:hAnsi="Century Gothic" w:cs="Times New Roman"/>
          <w:sz w:val="22"/>
          <w:szCs w:val="24"/>
        </w:rPr>
        <w:t xml:space="preserve">egrante); Rubén Ignacio Moreira Valdez (Integrante). </w:t>
      </w:r>
    </w:p>
    <w:p w:rsidR="002E3DA9" w:rsidRPr="001B288E" w:rsidRDefault="002E3DA9" w:rsidP="002E3DA9">
      <w:pPr>
        <w:pStyle w:val="Textoindependiente"/>
        <w:spacing w:after="100" w:afterAutospacing="1" w:line="276" w:lineRule="auto"/>
        <w:rPr>
          <w:rFonts w:ascii="Century Gothic" w:hAnsi="Century Gothic" w:cs="Times New Roman"/>
          <w:sz w:val="22"/>
          <w:szCs w:val="24"/>
        </w:rPr>
      </w:pPr>
      <w:r w:rsidRPr="001B288E">
        <w:rPr>
          <w:rFonts w:ascii="Century Gothic" w:hAnsi="Century Gothic"/>
          <w:sz w:val="22"/>
        </w:rPr>
        <w:t xml:space="preserve">Firman para constancia las diputadas y los diputados </w:t>
      </w:r>
      <w:r w:rsidR="001B288E" w:rsidRPr="001B288E">
        <w:rPr>
          <w:rFonts w:ascii="Century Gothic" w:hAnsi="Century Gothic"/>
          <w:sz w:val="22"/>
        </w:rPr>
        <w:t xml:space="preserve">presentes, que integran </w:t>
      </w:r>
      <w:r w:rsidRPr="001B288E">
        <w:rPr>
          <w:rFonts w:ascii="Century Gothic" w:hAnsi="Century Gothic"/>
          <w:sz w:val="22"/>
        </w:rPr>
        <w:t xml:space="preserve">la Comisión Asuntos Frontera Sur, de conformidad con </w:t>
      </w:r>
      <w:r w:rsidR="001B288E" w:rsidRPr="001B288E">
        <w:rPr>
          <w:rFonts w:ascii="Century Gothic" w:hAnsi="Century Gothic"/>
          <w:sz w:val="22"/>
        </w:rPr>
        <w:t xml:space="preserve">el artículo 160 </w:t>
      </w:r>
      <w:r w:rsidRPr="001B288E">
        <w:rPr>
          <w:rFonts w:ascii="Century Gothic" w:hAnsi="Century Gothic"/>
          <w:sz w:val="22"/>
        </w:rPr>
        <w:t>del Reglamento de la Cámara de Diputados.</w:t>
      </w:r>
    </w:p>
    <w:p w:rsidR="001B288E" w:rsidRPr="009C5E52" w:rsidRDefault="001B288E" w:rsidP="001B288E">
      <w:pPr>
        <w:spacing w:line="360" w:lineRule="auto"/>
        <w:jc w:val="center"/>
        <w:rPr>
          <w:rFonts w:ascii="Century Gothic" w:hAnsi="Century Gothic" w:cs="Arial"/>
          <w:b/>
          <w:bCs/>
          <w:sz w:val="24"/>
        </w:rPr>
      </w:pPr>
    </w:p>
    <w:p w:rsidR="001B288E" w:rsidRPr="009C5E52" w:rsidRDefault="001B288E" w:rsidP="001B288E">
      <w:pPr>
        <w:rPr>
          <w:rFonts w:ascii="Century Gothic" w:hAnsi="Century Gothic" w:cs="Arial"/>
        </w:rPr>
      </w:pPr>
    </w:p>
    <w:p w:rsidR="001B288E" w:rsidRPr="009C5E52" w:rsidRDefault="001B288E" w:rsidP="001B288E">
      <w:pPr>
        <w:rPr>
          <w:rFonts w:ascii="Century Gothic" w:hAnsi="Century Gothic" w:cs="Arial"/>
        </w:rPr>
      </w:pPr>
    </w:p>
    <w:p w:rsidR="001B288E" w:rsidRPr="009C5E52" w:rsidRDefault="001B288E" w:rsidP="001B288E">
      <w:pPr>
        <w:rPr>
          <w:rFonts w:ascii="Century Gothic" w:hAnsi="Century Gothic" w:cs="Arial"/>
        </w:rPr>
      </w:pPr>
    </w:p>
    <w:p w:rsidR="001B288E" w:rsidRPr="009C5E52" w:rsidRDefault="001B288E" w:rsidP="001B288E">
      <w:pPr>
        <w:rPr>
          <w:rFonts w:ascii="Century Gothic" w:hAnsi="Century Gothic" w:cs="Arial"/>
        </w:rPr>
      </w:pPr>
    </w:p>
    <w:p w:rsidR="00885DD1" w:rsidRDefault="00885DD1"/>
    <w:sectPr w:rsidR="00885DD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182" w:rsidRDefault="00B80182" w:rsidP="002E3DA9">
      <w:pPr>
        <w:spacing w:after="0" w:line="240" w:lineRule="auto"/>
      </w:pPr>
      <w:r>
        <w:separator/>
      </w:r>
    </w:p>
  </w:endnote>
  <w:endnote w:type="continuationSeparator" w:id="0">
    <w:p w:rsidR="00B80182" w:rsidRDefault="00B80182" w:rsidP="002E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182" w:rsidRDefault="00B80182" w:rsidP="002E3DA9">
      <w:pPr>
        <w:spacing w:after="0" w:line="240" w:lineRule="auto"/>
      </w:pPr>
      <w:r>
        <w:separator/>
      </w:r>
    </w:p>
  </w:footnote>
  <w:footnote w:type="continuationSeparator" w:id="0">
    <w:p w:rsidR="00B80182" w:rsidRDefault="00B80182" w:rsidP="002E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A9" w:rsidRDefault="002E3DA9" w:rsidP="002E3DA9">
    <w:pPr>
      <w:pStyle w:val="Encabezado"/>
    </w:pPr>
    <w:r>
      <w:rPr>
        <w:noProof/>
        <w:lang w:eastAsia="es-MX"/>
      </w:rPr>
      <w:drawing>
        <wp:anchor distT="0" distB="0" distL="114300" distR="114300" simplePos="0" relativeHeight="251661312" behindDoc="0" locked="0" layoutInCell="1" allowOverlap="1" wp14:anchorId="0B538FCE" wp14:editId="1FC0986C">
          <wp:simplePos x="0" y="0"/>
          <wp:positionH relativeFrom="margin">
            <wp:posOffset>-318135</wp:posOffset>
          </wp:positionH>
          <wp:positionV relativeFrom="margin">
            <wp:posOffset>-817245</wp:posOffset>
          </wp:positionV>
          <wp:extent cx="1447800" cy="701675"/>
          <wp:effectExtent l="0" t="0" r="0"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JJ.png"/>
                  <pic:cNvPicPr/>
                </pic:nvPicPr>
                <pic:blipFill rotWithShape="1">
                  <a:blip r:embed="rId1">
                    <a:extLst>
                      <a:ext uri="{28A0092B-C50C-407E-A947-70E740481C1C}">
                        <a14:useLocalDpi xmlns:a14="http://schemas.microsoft.com/office/drawing/2010/main" val="0"/>
                      </a:ext>
                    </a:extLst>
                  </a:blip>
                  <a:srcRect l="2262" t="18113" r="3415" b="22873"/>
                  <a:stretch/>
                </pic:blipFill>
                <pic:spPr bwMode="auto">
                  <a:xfrm>
                    <a:off x="0" y="0"/>
                    <a:ext cx="144780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3AA41EC2" wp14:editId="453CC2CE">
              <wp:simplePos x="0" y="0"/>
              <wp:positionH relativeFrom="column">
                <wp:posOffset>8177530</wp:posOffset>
              </wp:positionH>
              <wp:positionV relativeFrom="paragraph">
                <wp:posOffset>52070</wp:posOffset>
              </wp:positionV>
              <wp:extent cx="45085" cy="285115"/>
              <wp:effectExtent l="0" t="0" r="12065" b="19685"/>
              <wp:wrapNone/>
              <wp:docPr id="2" name="Rectángulo 2"/>
              <wp:cNvGraphicFramePr/>
              <a:graphic xmlns:a="http://schemas.openxmlformats.org/drawingml/2006/main">
                <a:graphicData uri="http://schemas.microsoft.com/office/word/2010/wordprocessingShape">
                  <wps:wsp>
                    <wps:cNvSpPr/>
                    <wps:spPr>
                      <a:xfrm>
                        <a:off x="0" y="0"/>
                        <a:ext cx="45085" cy="285115"/>
                      </a:xfrm>
                      <a:prstGeom prst="rect">
                        <a:avLst/>
                      </a:prstGeom>
                      <a:solidFill>
                        <a:srgbClr val="1D3C20"/>
                      </a:solidFill>
                      <a:ln>
                        <a:solidFill>
                          <a:srgbClr val="1D3C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F2672" id="Rectángulo 2" o:spid="_x0000_s1026" style="position:absolute;margin-left:643.9pt;margin-top:4.1pt;width:3.5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" fillcolor="#1d3c20" strokecolor="#1d3c20" strokeweight="1pt"/>
          </w:pict>
        </mc:Fallback>
      </mc:AlternateContent>
    </w:r>
  </w:p>
  <w:p w:rsidR="002E3DA9" w:rsidRDefault="002E3DA9" w:rsidP="002E3DA9">
    <w:pPr>
      <w:pStyle w:val="Encabezado"/>
      <w:ind w:right="352"/>
      <w:jc w:val="right"/>
      <w:rPr>
        <w:rFonts w:ascii="Century Gothic" w:hAnsi="Century Gothic"/>
        <w:b/>
        <w:sz w:val="24"/>
      </w:rPr>
    </w:pPr>
    <w:r w:rsidRPr="003A2B12">
      <w:rPr>
        <w:rFonts w:ascii="Century Gothic" w:hAnsi="Century Gothic"/>
        <w:b/>
        <w:sz w:val="24"/>
      </w:rPr>
      <w:t>COMISIÓN ASUNTOS FRONTERA SUR</w:t>
    </w:r>
  </w:p>
  <w:p w:rsidR="002E3DA9" w:rsidRPr="002E3DA9" w:rsidRDefault="002E3DA9" w:rsidP="002E3DA9">
    <w:pPr>
      <w:pStyle w:val="Encabezado"/>
      <w:ind w:right="352"/>
      <w:jc w:val="right"/>
      <w:rPr>
        <w:sz w:val="20"/>
      </w:rPr>
    </w:pPr>
    <w:r w:rsidRPr="002E3DA9">
      <w:rPr>
        <w:noProof/>
        <w:sz w:val="18"/>
        <w:lang w:eastAsia="es-MX"/>
      </w:rPr>
      <mc:AlternateContent>
        <mc:Choice Requires="wps">
          <w:drawing>
            <wp:anchor distT="0" distB="0" distL="114300" distR="114300" simplePos="0" relativeHeight="251660288" behindDoc="0" locked="0" layoutInCell="1" allowOverlap="1" wp14:anchorId="470A39DE" wp14:editId="6E5ADC1A">
              <wp:simplePos x="0" y="0"/>
              <wp:positionH relativeFrom="column">
                <wp:posOffset>8185150</wp:posOffset>
              </wp:positionH>
              <wp:positionV relativeFrom="paragraph">
                <wp:posOffset>82550</wp:posOffset>
              </wp:positionV>
              <wp:extent cx="45085" cy="285115"/>
              <wp:effectExtent l="0" t="0" r="12065" b="19685"/>
              <wp:wrapNone/>
              <wp:docPr id="6" name="Rectángulo 6"/>
              <wp:cNvGraphicFramePr/>
              <a:graphic xmlns:a="http://schemas.openxmlformats.org/drawingml/2006/main">
                <a:graphicData uri="http://schemas.microsoft.com/office/word/2010/wordprocessingShape">
                  <wps:wsp>
                    <wps:cNvSpPr/>
                    <wps:spPr>
                      <a:xfrm>
                        <a:off x="0" y="0"/>
                        <a:ext cx="45085" cy="285115"/>
                      </a:xfrm>
                      <a:prstGeom prst="rect">
                        <a:avLst/>
                      </a:prstGeom>
                      <a:solidFill>
                        <a:srgbClr val="9E2A2B"/>
                      </a:solidFill>
                      <a:ln>
                        <a:solidFill>
                          <a:srgbClr val="9E2A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63DE4" id="Rectángulo 6" o:spid="_x0000_s1026" style="position:absolute;margin-left:644.5pt;margin-top:6.5pt;width:3.5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" fillcolor="#9e2a2b" strokecolor="#9e2a2b" strokeweight="1pt"/>
          </w:pict>
        </mc:Fallback>
      </mc:AlternateContent>
    </w:r>
    <w:r w:rsidRPr="002E3DA9">
      <w:rPr>
        <w:rFonts w:ascii="Century Gothic" w:hAnsi="Century Gothic"/>
        <w:sz w:val="20"/>
      </w:rPr>
      <w:t>Legislatura de la Paridad de Género</w:t>
    </w:r>
  </w:p>
  <w:p w:rsidR="002E3DA9" w:rsidRPr="002E3DA9" w:rsidRDefault="002E3DA9" w:rsidP="002E3DA9">
    <w:pPr>
      <w:pStyle w:val="Encabezado"/>
      <w:ind w:right="352"/>
      <w:jc w:val="right"/>
      <w:rPr>
        <w:sz w:val="20"/>
      </w:rPr>
    </w:pPr>
    <w:r w:rsidRPr="002E3DA9">
      <w:rPr>
        <w:rStyle w:val="Ninguno"/>
        <w:rFonts w:ascii="Century Gothic" w:hAnsi="Century Gothic"/>
        <w:i/>
        <w:iCs/>
        <w:sz w:val="20"/>
        <w:szCs w:val="24"/>
      </w:rPr>
      <w:t xml:space="preserve">     “2020 Año de Leona Vicario, Benemérita Madre de la Patria”</w:t>
    </w:r>
  </w:p>
  <w:p w:rsidR="002E3DA9" w:rsidRDefault="002E3DA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A9"/>
    <w:rsid w:val="001B288E"/>
    <w:rsid w:val="002001AA"/>
    <w:rsid w:val="002E3DA9"/>
    <w:rsid w:val="0065324A"/>
    <w:rsid w:val="00885DD1"/>
    <w:rsid w:val="00941074"/>
    <w:rsid w:val="00B801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F3FD"/>
  <w15:chartTrackingRefBased/>
  <w15:docId w15:val="{0E4F296E-9D8D-4091-98A1-01953632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2E3DA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E3DA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E3DA9"/>
  </w:style>
  <w:style w:type="character" w:customStyle="1" w:styleId="apple-converted-space">
    <w:name w:val="apple-converted-space"/>
    <w:basedOn w:val="Fuentedeprrafopredeter"/>
    <w:rsid w:val="002E3DA9"/>
  </w:style>
  <w:style w:type="paragraph" w:styleId="Textoindependiente">
    <w:name w:val="Body Text"/>
    <w:basedOn w:val="Normal"/>
    <w:link w:val="TextoindependienteCar"/>
    <w:rsid w:val="002E3DA9"/>
    <w:pPr>
      <w:spacing w:after="0" w:line="360" w:lineRule="auto"/>
      <w:jc w:val="both"/>
    </w:pPr>
    <w:rPr>
      <w:rFonts w:ascii="Arial" w:eastAsia="Times New Roman" w:hAnsi="Arial" w:cs="Arial"/>
      <w:sz w:val="24"/>
      <w:szCs w:val="20"/>
      <w:lang w:eastAsia="es-ES"/>
    </w:rPr>
  </w:style>
  <w:style w:type="character" w:customStyle="1" w:styleId="TextoindependienteCar">
    <w:name w:val="Texto independiente Car"/>
    <w:basedOn w:val="Fuentedeprrafopredeter"/>
    <w:link w:val="Textoindependiente"/>
    <w:rsid w:val="002E3DA9"/>
    <w:rPr>
      <w:rFonts w:ascii="Arial" w:eastAsia="Times New Roman" w:hAnsi="Arial" w:cs="Arial"/>
      <w:sz w:val="24"/>
      <w:szCs w:val="20"/>
      <w:lang w:eastAsia="es-ES"/>
    </w:rPr>
  </w:style>
  <w:style w:type="paragraph" w:styleId="Encabezado">
    <w:name w:val="header"/>
    <w:basedOn w:val="Normal"/>
    <w:link w:val="EncabezadoCar"/>
    <w:unhideWhenUsed/>
    <w:rsid w:val="002E3DA9"/>
    <w:pPr>
      <w:tabs>
        <w:tab w:val="center" w:pos="4419"/>
        <w:tab w:val="right" w:pos="8838"/>
      </w:tabs>
      <w:spacing w:after="0" w:line="240" w:lineRule="auto"/>
    </w:pPr>
  </w:style>
  <w:style w:type="character" w:customStyle="1" w:styleId="EncabezadoCar">
    <w:name w:val="Encabezado Car"/>
    <w:basedOn w:val="Fuentedeprrafopredeter"/>
    <w:link w:val="Encabezado"/>
    <w:rsid w:val="002E3DA9"/>
  </w:style>
  <w:style w:type="paragraph" w:styleId="Piedepgina">
    <w:name w:val="footer"/>
    <w:basedOn w:val="Normal"/>
    <w:link w:val="PiedepginaCar"/>
    <w:uiPriority w:val="99"/>
    <w:unhideWhenUsed/>
    <w:rsid w:val="002E3D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DA9"/>
  </w:style>
  <w:style w:type="character" w:customStyle="1" w:styleId="Ninguno">
    <w:name w:val="Ninguno"/>
    <w:rsid w:val="002E3DA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199</Words>
  <Characters>1098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2020-01-17T16:21:00Z</dcterms:created>
  <dcterms:modified xsi:type="dcterms:W3CDTF">2020-01-28T01:09:00Z</dcterms:modified>
</cp:coreProperties>
</file>